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C" w:rsidRDefault="0030400B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910EAC" w:rsidRDefault="0030400B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910EAC" w:rsidRDefault="00910EAC" w:rsidP="00087FA9">
      <w:pPr>
        <w:rPr>
          <w:rFonts w:asciiTheme="minorHAnsi" w:hAnsiTheme="minorHAnsi" w:cs="Calibri"/>
          <w:sz w:val="20"/>
          <w:szCs w:val="20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087FA9" w:rsidRDefault="00087FA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Povinní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 w:rsidR="00AC1E6F" w:rsidRPr="00AC1E6F">
        <w:rPr>
          <w:rFonts w:asciiTheme="minorHAnsi" w:hAnsiTheme="minorHAnsi" w:cs="Calibri"/>
          <w:b/>
          <w:sz w:val="21"/>
          <w:szCs w:val="21"/>
        </w:rPr>
        <w:t>Ing.Pavel</w:t>
      </w:r>
      <w:proofErr w:type="spellEnd"/>
      <w:r w:rsidR="00AC1E6F" w:rsidRPr="00AC1E6F">
        <w:rPr>
          <w:rFonts w:asciiTheme="minorHAnsi" w:hAnsiTheme="minorHAnsi" w:cs="Calibri"/>
          <w:b/>
          <w:sz w:val="21"/>
          <w:szCs w:val="21"/>
        </w:rPr>
        <w:t xml:space="preserve"> Oravec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D1516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AC1E6F">
        <w:rPr>
          <w:rFonts w:asciiTheme="minorHAnsi" w:hAnsiTheme="minorHAnsi" w:cs="Calibri"/>
          <w:sz w:val="21"/>
          <w:szCs w:val="21"/>
        </w:rPr>
        <w:t xml:space="preserve">Banská Bystrica, 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štátna </w:t>
      </w:r>
      <w:r w:rsidR="00CD1516">
        <w:rPr>
          <w:rFonts w:asciiTheme="minorHAnsi" w:hAnsiTheme="minorHAnsi" w:cs="Calibri"/>
          <w:sz w:val="21"/>
          <w:szCs w:val="21"/>
        </w:rPr>
        <w:t>príslušnosť:</w:t>
      </w:r>
      <w:r w:rsidR="00CD1516">
        <w:rPr>
          <w:rFonts w:asciiTheme="minorHAnsi" w:hAnsiTheme="minorHAnsi" w:cs="Calibri"/>
          <w:sz w:val="21"/>
          <w:szCs w:val="21"/>
        </w:rPr>
        <w:tab/>
      </w:r>
      <w:r w:rsidR="00CD1516">
        <w:rPr>
          <w:rFonts w:asciiTheme="minorHAnsi" w:hAnsiTheme="minorHAnsi" w:cs="Calibri"/>
          <w:sz w:val="21"/>
          <w:szCs w:val="21"/>
        </w:rPr>
        <w:tab/>
      </w:r>
      <w:r w:rsidR="00CD1516">
        <w:rPr>
          <w:rFonts w:asciiTheme="minorHAnsi" w:hAnsiTheme="minorHAnsi" w:cs="Calibri"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2/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AC1E6F">
        <w:rPr>
          <w:rFonts w:asciiTheme="minorHAnsi" w:hAnsiTheme="minorHAnsi" w:cs="Calibri"/>
          <w:b/>
          <w:sz w:val="21"/>
          <w:szCs w:val="21"/>
        </w:rPr>
        <w:t xml:space="preserve">Mgr. Nina </w:t>
      </w:r>
      <w:proofErr w:type="spellStart"/>
      <w:r w:rsidR="00AC1E6F">
        <w:rPr>
          <w:rFonts w:asciiTheme="minorHAnsi" w:hAnsiTheme="minorHAnsi" w:cs="Calibri"/>
          <w:b/>
          <w:sz w:val="21"/>
          <w:szCs w:val="21"/>
        </w:rPr>
        <w:t>Drápalová</w:t>
      </w:r>
      <w:proofErr w:type="spellEnd"/>
    </w:p>
    <w:p w:rsidR="00CD1516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D1516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 w:rsidR="00AC1E6F">
        <w:rPr>
          <w:rFonts w:asciiTheme="minorHAnsi" w:hAnsiTheme="minorHAnsi" w:cs="Calibri"/>
          <w:sz w:val="21"/>
          <w:szCs w:val="21"/>
        </w:rPr>
        <w:t>Rýmařov</w:t>
      </w:r>
      <w:proofErr w:type="spellEnd"/>
      <w:r w:rsidR="00AC1E6F">
        <w:rPr>
          <w:rFonts w:asciiTheme="minorHAnsi" w:hAnsiTheme="minorHAnsi" w:cs="Calibri"/>
          <w:sz w:val="21"/>
          <w:szCs w:val="21"/>
        </w:rPr>
        <w:t xml:space="preserve">, 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AC1E6F" w:rsidP="00AC1E6F">
      <w:pPr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3/</w:t>
      </w:r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 xml:space="preserve">JUDr. Kristína </w:t>
      </w:r>
      <w:proofErr w:type="spellStart"/>
      <w:r>
        <w:rPr>
          <w:rFonts w:asciiTheme="minorHAnsi" w:hAnsiTheme="minorHAnsi" w:cs="Calibri"/>
          <w:b/>
          <w:sz w:val="21"/>
          <w:szCs w:val="21"/>
        </w:rPr>
        <w:t>Čunderlíková</w:t>
      </w:r>
      <w:proofErr w:type="spellEnd"/>
    </w:p>
    <w:p w:rsidR="00CD1516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D1516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D1516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087FA9">
        <w:rPr>
          <w:rFonts w:asciiTheme="minorHAnsi" w:hAnsiTheme="minorHAnsi" w:cs="Calibri"/>
          <w:sz w:val="21"/>
          <w:szCs w:val="21"/>
        </w:rPr>
        <w:t xml:space="preserve">Banská Bystrica, </w:t>
      </w:r>
    </w:p>
    <w:p w:rsidR="00AC1E6F" w:rsidRDefault="00AC1E6F" w:rsidP="00AC1E6F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087FA9" w:rsidRDefault="00087FA9" w:rsidP="00AC1E6F">
      <w:pPr>
        <w:jc w:val="both"/>
        <w:rPr>
          <w:rFonts w:asciiTheme="minorHAnsi" w:hAnsiTheme="minorHAnsi" w:cs="Calibri"/>
          <w:sz w:val="21"/>
          <w:szCs w:val="21"/>
        </w:rPr>
      </w:pPr>
    </w:p>
    <w:p w:rsidR="00AC1E6F" w:rsidRDefault="00AC1E6F" w:rsidP="00AC1E6F">
      <w:pPr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910EAC" w:rsidRDefault="00910EAC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Predmetom zmluvy je záväzok povinných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087FA9" w:rsidRPr="00087FA9" w:rsidRDefault="00087FA9" w:rsidP="00087FA9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910EAC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910EAC" w:rsidRDefault="00910EAC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910EAC" w:rsidRPr="00087FA9" w:rsidRDefault="0030400B" w:rsidP="00087FA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</w:t>
      </w:r>
      <w:r w:rsidRPr="00087FA9">
        <w:rPr>
          <w:rFonts w:asciiTheme="minorHAnsi" w:hAnsiTheme="minorHAnsi" w:cs="Calibri"/>
          <w:b/>
          <w:sz w:val="21"/>
          <w:szCs w:val="21"/>
        </w:rPr>
        <w:t xml:space="preserve">č. </w:t>
      </w:r>
      <w:r w:rsidR="00087FA9" w:rsidRPr="00087FA9">
        <w:rPr>
          <w:rFonts w:asciiTheme="minorHAnsi" w:hAnsiTheme="minorHAnsi" w:cs="Calibri"/>
          <w:b/>
          <w:sz w:val="21"/>
          <w:szCs w:val="21"/>
        </w:rPr>
        <w:t>160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910EAC" w:rsidRDefault="0030400B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KN-C 11</w:t>
      </w:r>
      <w:r w:rsidR="00087FA9">
        <w:rPr>
          <w:rFonts w:asciiTheme="minorHAnsi" w:hAnsiTheme="minorHAnsi" w:cs="Calibri"/>
          <w:sz w:val="21"/>
          <w:szCs w:val="21"/>
        </w:rPr>
        <w:t>22/6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r w:rsidR="00087FA9">
        <w:rPr>
          <w:rFonts w:asciiTheme="minorHAnsi" w:hAnsiTheme="minorHAnsi" w:cs="Calibri"/>
          <w:sz w:val="21"/>
          <w:szCs w:val="21"/>
        </w:rPr>
        <w:t>záhrada</w:t>
      </w:r>
      <w:r>
        <w:rPr>
          <w:rFonts w:asciiTheme="minorHAnsi" w:hAnsiTheme="minorHAnsi" w:cs="Calibri"/>
          <w:sz w:val="21"/>
          <w:szCs w:val="21"/>
        </w:rPr>
        <w:t xml:space="preserve">  o výmere  </w:t>
      </w:r>
      <w:r w:rsidR="00087FA9">
        <w:rPr>
          <w:rFonts w:asciiTheme="minorHAnsi" w:hAnsiTheme="minorHAnsi" w:cs="Calibri"/>
          <w:sz w:val="21"/>
          <w:szCs w:val="21"/>
        </w:rPr>
        <w:t>315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910EAC" w:rsidRDefault="00910EAC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087FA9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Povinní z vecného bremena sú podielovými spoluvlastníkmi zaťažených nehnuteľností,  a to povinný z vecného bremena 1/ v rozsahu spoluvlastníckeho podielu </w:t>
      </w:r>
      <w:r w:rsidR="00087FA9">
        <w:rPr>
          <w:rFonts w:asciiTheme="minorHAnsi" w:hAnsiTheme="minorHAnsi" w:cs="Calibri"/>
          <w:sz w:val="21"/>
          <w:szCs w:val="21"/>
        </w:rPr>
        <w:t xml:space="preserve">½, </w:t>
      </w:r>
      <w:r>
        <w:rPr>
          <w:rFonts w:asciiTheme="minorHAnsi" w:hAnsiTheme="minorHAnsi" w:cs="Calibri"/>
          <w:sz w:val="21"/>
          <w:szCs w:val="21"/>
        </w:rPr>
        <w:t xml:space="preserve">  povinný z vecného bremena 2/ v rozsahu spoluvlastníckeho podielu </w:t>
      </w:r>
      <w:r w:rsidR="00087FA9">
        <w:rPr>
          <w:rFonts w:asciiTheme="minorHAnsi" w:hAnsiTheme="minorHAnsi" w:cs="Calibri"/>
          <w:sz w:val="21"/>
          <w:szCs w:val="21"/>
        </w:rPr>
        <w:t>¼ a povinný z vecného bremena 3/ v rozsahu spoluvlastníckeho podielu ¼</w:t>
      </w:r>
      <w:r>
        <w:rPr>
          <w:rFonts w:asciiTheme="minorHAnsi" w:hAnsiTheme="minorHAnsi" w:cs="Calibri"/>
          <w:sz w:val="21"/>
          <w:szCs w:val="21"/>
        </w:rPr>
        <w:t xml:space="preserve">. 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vyhlasuje, že si je vedomý a súhlasí s tým, že práva zodpovedajúce vecnému bremenu bude okrem oprávnenej z vecného bremena vykonávať aj akákoľvek iná osoba </w:t>
      </w:r>
      <w:r>
        <w:rPr>
          <w:rFonts w:asciiTheme="minorHAnsi" w:hAnsiTheme="minorHAnsi" w:cs="Calibri"/>
          <w:sz w:val="21"/>
          <w:szCs w:val="21"/>
        </w:rPr>
        <w:lastRenderedPageBreak/>
        <w:t>pôsobiaca ako dodávateľ prác a služieb pre oprávnenú z vecného bremena, alebo akákoľvek iná osoba, ktorej výkon činnosti v prospech oprávnenej z vecného bremena predpokladá potrebu výkonu takéhoto práva.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910EAC" w:rsidRDefault="00910EAC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Katastrálne konanie</w:t>
      </w:r>
    </w:p>
    <w:p w:rsidR="00910EAC" w:rsidRDefault="00910EAC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087FA9" w:rsidRPr="00087FA9" w:rsidRDefault="0030400B" w:rsidP="00087FA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910EAC" w:rsidRDefault="00910EAC">
      <w:pPr>
        <w:rPr>
          <w:rFonts w:asciiTheme="minorHAnsi" w:hAnsiTheme="minorHAnsi" w:cstheme="minorHAnsi"/>
          <w:b/>
          <w:sz w:val="21"/>
          <w:szCs w:val="21"/>
        </w:rPr>
      </w:pPr>
    </w:p>
    <w:p w:rsidR="00910EAC" w:rsidRDefault="0030400B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910EAC" w:rsidRDefault="00910EAC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910EAC" w:rsidRDefault="0030400B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Záverečné ustanovenia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Okresnom úrade Banská Bystrica, katastrálnom odbore. Povinný z vecného bremena potvrdzuje, že pri podpise zmluvy mu bola odovzdaná fotokópia Geometrického plánu.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583B48">
        <w:rPr>
          <w:rFonts w:asciiTheme="minorHAnsi" w:hAnsiTheme="minorHAnsi" w:cs="Calibri"/>
          <w:sz w:val="21"/>
          <w:szCs w:val="21"/>
        </w:rPr>
        <w:t>6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583B48">
        <w:rPr>
          <w:rFonts w:asciiTheme="minorHAnsi" w:hAnsiTheme="minorHAnsi" w:cs="Calibri"/>
          <w:sz w:val="21"/>
          <w:szCs w:val="21"/>
        </w:rPr>
        <w:t>šiestich</w:t>
      </w:r>
      <w:r>
        <w:rPr>
          <w:rFonts w:asciiTheme="minorHAnsi" w:hAnsiTheme="minorHAnsi" w:cs="Calibri"/>
          <w:sz w:val="21"/>
          <w:szCs w:val="21"/>
        </w:rPr>
        <w:t xml:space="preserve">)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910EAC" w:rsidRDefault="00910EAC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910EAC" w:rsidP="00087FA9">
      <w:pPr>
        <w:rPr>
          <w:rFonts w:asciiTheme="minorHAnsi" w:hAnsiTheme="minorHAnsi" w:cs="Calibri"/>
          <w:sz w:val="21"/>
          <w:szCs w:val="21"/>
        </w:rPr>
      </w:pPr>
    </w:p>
    <w:p w:rsidR="00087FA9" w:rsidRDefault="00087FA9" w:rsidP="00087FA9">
      <w:pPr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center"/>
        <w:rPr>
          <w:rFonts w:asciiTheme="minorHAnsi" w:hAnsiTheme="minorHAnsi" w:cs="Calibri"/>
          <w:sz w:val="21"/>
          <w:szCs w:val="21"/>
        </w:rPr>
      </w:pPr>
    </w:p>
    <w:p w:rsidR="00910EAC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Povinní</w:t>
      </w:r>
      <w:r w:rsidR="0030400B">
        <w:rPr>
          <w:rFonts w:asciiTheme="minorHAnsi" w:hAnsiTheme="minorHAnsi" w:cs="Calibri"/>
          <w:sz w:val="21"/>
          <w:szCs w:val="21"/>
        </w:rPr>
        <w:t xml:space="preserve"> z vecného bremena:</w:t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</w:r>
      <w:r w:rsidR="0030400B"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Ing. Pavel Oravec</w:t>
      </w:r>
    </w:p>
    <w:p w:rsidR="00910EAC" w:rsidRDefault="00910EAC">
      <w:pPr>
        <w:jc w:val="both"/>
        <w:rPr>
          <w:rFonts w:asciiTheme="minorHAnsi" w:hAnsiTheme="minorHAnsi" w:cs="Calibri"/>
          <w:sz w:val="21"/>
          <w:szCs w:val="21"/>
        </w:rPr>
      </w:pP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Mgr. Nina </w:t>
      </w:r>
      <w:proofErr w:type="spellStart"/>
      <w:r>
        <w:rPr>
          <w:rFonts w:asciiTheme="minorHAnsi" w:hAnsiTheme="minorHAnsi" w:cs="Calibri"/>
          <w:sz w:val="21"/>
          <w:szCs w:val="21"/>
        </w:rPr>
        <w:t>Drápalová</w:t>
      </w:r>
      <w:proofErr w:type="spellEnd"/>
      <w:r w:rsidRPr="00087FA9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</w:t>
      </w:r>
    </w:p>
    <w:p w:rsidR="00910EAC" w:rsidRDefault="0030400B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...............................................</w:t>
      </w:r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JUDr. Kristína </w:t>
      </w:r>
      <w:proofErr w:type="spellStart"/>
      <w:r>
        <w:rPr>
          <w:rFonts w:asciiTheme="minorHAnsi" w:hAnsiTheme="minorHAnsi" w:cs="Calibri"/>
          <w:sz w:val="21"/>
          <w:szCs w:val="21"/>
        </w:rPr>
        <w:t>Čunderlíková</w:t>
      </w:r>
      <w:proofErr w:type="spellEnd"/>
    </w:p>
    <w:p w:rsidR="00087FA9" w:rsidRDefault="00087FA9">
      <w:pPr>
        <w:jc w:val="both"/>
        <w:rPr>
          <w:rFonts w:asciiTheme="minorHAnsi" w:hAnsiTheme="minorHAnsi" w:cs="Calibri"/>
          <w:sz w:val="21"/>
          <w:szCs w:val="21"/>
        </w:rPr>
      </w:pPr>
    </w:p>
    <w:sectPr w:rsidR="00087FA9" w:rsidSect="00910EA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AC1E6F"/>
    <w:rsid w:val="00087FA9"/>
    <w:rsid w:val="0030400B"/>
    <w:rsid w:val="00583B48"/>
    <w:rsid w:val="00910EAC"/>
    <w:rsid w:val="00AC1E6F"/>
    <w:rsid w:val="00B95E6A"/>
    <w:rsid w:val="00C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EAC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0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10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0EAC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0EAC"/>
    <w:pPr>
      <w:ind w:left="720"/>
      <w:contextualSpacing/>
    </w:pPr>
  </w:style>
  <w:style w:type="paragraph" w:customStyle="1" w:styleId="small">
    <w:name w:val="small"/>
    <w:rsid w:val="00910EAC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910EAC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910EAC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910EAC"/>
  </w:style>
  <w:style w:type="table" w:customStyle="1" w:styleId="Normlnatabuka">
    <w:name w:val="Normálna tabuľka"/>
    <w:uiPriority w:val="99"/>
    <w:semiHidden/>
    <w:rsid w:val="00910EAC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6</cp:revision>
  <cp:lastPrinted>2019-05-27T07:40:00Z</cp:lastPrinted>
  <dcterms:created xsi:type="dcterms:W3CDTF">2019-05-21T13:40:00Z</dcterms:created>
  <dcterms:modified xsi:type="dcterms:W3CDTF">2019-11-04T13:12:00Z</dcterms:modified>
</cp:coreProperties>
</file>