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24" w:rsidRDefault="00C12E3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E71424" w:rsidRDefault="00C12E3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E71424" w:rsidRDefault="00E71424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0"/>
          <w:szCs w:val="20"/>
        </w:rPr>
      </w:pPr>
    </w:p>
    <w:p w:rsidR="00E71424" w:rsidRDefault="00E71424">
      <w:pPr>
        <w:jc w:val="center"/>
        <w:rPr>
          <w:rFonts w:asciiTheme="minorHAnsi" w:hAnsiTheme="minorHAnsi" w:cs="Calibri"/>
          <w:sz w:val="20"/>
          <w:szCs w:val="20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17228E">
        <w:rPr>
          <w:rFonts w:asciiTheme="minorHAnsi" w:hAnsiTheme="minorHAnsi" w:cs="Calibri"/>
          <w:b/>
          <w:sz w:val="21"/>
          <w:szCs w:val="21"/>
        </w:rPr>
        <w:t>á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17228E" w:rsidRPr="0017228E">
        <w:rPr>
          <w:rFonts w:asciiTheme="minorHAnsi" w:hAnsiTheme="minorHAnsi" w:cs="Calibri"/>
          <w:b/>
          <w:sz w:val="21"/>
          <w:szCs w:val="21"/>
        </w:rPr>
        <w:t>Mgr. Denisa Ševčíková</w:t>
      </w:r>
    </w:p>
    <w:p w:rsidR="00E71424" w:rsidRDefault="0017228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F21E8B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 xml:space="preserve">Riečka, 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Predm</w:t>
      </w:r>
      <w:r w:rsidR="0017228E">
        <w:rPr>
          <w:rFonts w:asciiTheme="minorHAnsi" w:hAnsiTheme="minorHAnsi" w:cs="Calibri"/>
          <w:sz w:val="21"/>
          <w:szCs w:val="21"/>
        </w:rPr>
        <w:t>etom zmluvy je záväzok povinnej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E71424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Vecné bremeno zriadené na základe tejto zmluvy zaťažuje nehnuteľnosti zapísané na liste vlastníctva č</w:t>
      </w:r>
      <w:r w:rsidRPr="0017228E">
        <w:rPr>
          <w:rFonts w:asciiTheme="minorHAnsi" w:hAnsiTheme="minorHAnsi" w:cs="Calibri"/>
          <w:b/>
          <w:sz w:val="21"/>
          <w:szCs w:val="21"/>
        </w:rPr>
        <w:t xml:space="preserve">. </w:t>
      </w:r>
      <w:r w:rsidR="0017228E" w:rsidRPr="0017228E">
        <w:rPr>
          <w:rFonts w:asciiTheme="minorHAnsi" w:hAnsiTheme="minorHAnsi" w:cs="Calibri"/>
          <w:b/>
          <w:sz w:val="21"/>
          <w:szCs w:val="21"/>
        </w:rPr>
        <w:t>569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. č. KN-C </w:t>
      </w:r>
      <w:r w:rsidR="0017228E">
        <w:rPr>
          <w:rFonts w:asciiTheme="minorHAnsi" w:hAnsiTheme="minorHAnsi" w:cs="Calibri"/>
          <w:sz w:val="21"/>
          <w:szCs w:val="21"/>
        </w:rPr>
        <w:t>1213/110</w:t>
      </w:r>
      <w:r>
        <w:rPr>
          <w:rFonts w:asciiTheme="minorHAnsi" w:hAnsiTheme="minorHAnsi" w:cs="Calibri"/>
          <w:sz w:val="21"/>
          <w:szCs w:val="21"/>
        </w:rPr>
        <w:t xml:space="preserve"> druh pozemku ostatná plocha  o výmere  </w:t>
      </w:r>
      <w:r w:rsidR="0017228E">
        <w:rPr>
          <w:rFonts w:asciiTheme="minorHAnsi" w:hAnsiTheme="minorHAnsi" w:cs="Calibri"/>
          <w:sz w:val="21"/>
          <w:szCs w:val="21"/>
        </w:rPr>
        <w:t>298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E71424" w:rsidRDefault="00E71424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1722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je výlučným vlastníkom zaťažených nehnuteľností. </w:t>
      </w:r>
      <w:r w:rsidR="00C12E35">
        <w:rPr>
          <w:rFonts w:asciiTheme="minorHAnsi" w:hAnsiTheme="minorHAnsi" w:cs="Calibri"/>
          <w:sz w:val="21"/>
          <w:szCs w:val="21"/>
        </w:rPr>
        <w:t xml:space="preserve">(ďalej aj ako </w:t>
      </w:r>
      <w:r w:rsidR="00C12E35">
        <w:rPr>
          <w:rFonts w:asciiTheme="minorHAnsi" w:hAnsiTheme="minorHAnsi" w:cs="Calibri"/>
          <w:b/>
          <w:sz w:val="21"/>
          <w:szCs w:val="21"/>
        </w:rPr>
        <w:t>„povinný z vecného bremena“</w:t>
      </w:r>
      <w:r w:rsidR="00C12E35">
        <w:rPr>
          <w:rFonts w:asciiTheme="minorHAnsi" w:hAnsiTheme="minorHAnsi" w:cs="Calibri"/>
          <w:sz w:val="21"/>
          <w:szCs w:val="21"/>
        </w:rPr>
        <w:t>).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E71424" w:rsidRDefault="00E71424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Katastrálne konanie</w:t>
      </w: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E71424" w:rsidRDefault="00E71424">
      <w:pPr>
        <w:rPr>
          <w:rFonts w:asciiTheme="minorHAnsi" w:hAnsiTheme="minorHAnsi" w:cstheme="minorHAns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E71424" w:rsidRDefault="00E71424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17228E">
        <w:rPr>
          <w:rFonts w:asciiTheme="minorHAnsi" w:hAnsiTheme="minorHAnsi" w:cs="Calibri"/>
          <w:sz w:val="21"/>
          <w:szCs w:val="21"/>
        </w:rPr>
        <w:t>4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17228E">
        <w:rPr>
          <w:rFonts w:asciiTheme="minorHAnsi" w:hAnsiTheme="minorHAnsi" w:cs="Calibri"/>
          <w:sz w:val="21"/>
          <w:szCs w:val="21"/>
        </w:rPr>
        <w:t>štyroch</w:t>
      </w:r>
      <w:r>
        <w:rPr>
          <w:rFonts w:asciiTheme="minorHAnsi" w:hAnsiTheme="minorHAnsi" w:cs="Calibri"/>
          <w:sz w:val="21"/>
          <w:szCs w:val="21"/>
        </w:rPr>
        <w:t xml:space="preserve">)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C12E35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C12E35" w:rsidSect="00E7142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17228E"/>
    <w:rsid w:val="0017228E"/>
    <w:rsid w:val="00347BDE"/>
    <w:rsid w:val="006D2480"/>
    <w:rsid w:val="00C12E35"/>
    <w:rsid w:val="00E71424"/>
    <w:rsid w:val="00F2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424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1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71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424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  <w:style w:type="paragraph" w:customStyle="1" w:styleId="small">
    <w:name w:val="small"/>
    <w:rsid w:val="00E71424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E71424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E71424"/>
  </w:style>
  <w:style w:type="table" w:customStyle="1" w:styleId="Normlnatabuka">
    <w:name w:val="Normálna tabuľka"/>
    <w:uiPriority w:val="99"/>
    <w:semiHidden/>
    <w:rsid w:val="00E7142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5</cp:revision>
  <cp:lastPrinted>2019-05-24T07:22:00Z</cp:lastPrinted>
  <dcterms:created xsi:type="dcterms:W3CDTF">2019-05-20T08:18:00Z</dcterms:created>
  <dcterms:modified xsi:type="dcterms:W3CDTF">2019-11-04T13:14:00Z</dcterms:modified>
</cp:coreProperties>
</file>